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4DC5" w:rsidRDefault="00E84DC5" w:rsidP="00E84DC5">
      <w:pPr>
        <w:jc w:val="center"/>
        <w:rPr>
          <w:b/>
          <w:sz w:val="24"/>
        </w:rPr>
      </w:pPr>
      <w:bookmarkStart w:id="0" w:name="_GoBack"/>
      <w:bookmarkEnd w:id="0"/>
    </w:p>
    <w:p w:rsidR="00E84DC5" w:rsidRDefault="00E84DC5" w:rsidP="00E84DC5">
      <w:pPr>
        <w:tabs>
          <w:tab w:val="left" w:pos="720"/>
          <w:tab w:val="left" w:pos="3888"/>
        </w:tabs>
        <w:spacing w:after="120"/>
        <w:ind w:right="-1"/>
        <w:jc w:val="center"/>
        <w:rPr>
          <w:b/>
          <w:sz w:val="24"/>
        </w:rPr>
      </w:pPr>
      <w:r>
        <w:rPr>
          <w:b/>
          <w:sz w:val="24"/>
        </w:rPr>
        <w:t>BAREMACIÓN</w:t>
      </w:r>
    </w:p>
    <w:p w:rsidR="00E84DC5" w:rsidRDefault="00E84DC5" w:rsidP="00E84DC5">
      <w:pPr>
        <w:tabs>
          <w:tab w:val="left" w:pos="720"/>
          <w:tab w:val="left" w:pos="3888"/>
        </w:tabs>
        <w:spacing w:after="120"/>
        <w:ind w:right="-1"/>
        <w:jc w:val="center"/>
        <w:rPr>
          <w:b/>
          <w:sz w:val="24"/>
        </w:rPr>
      </w:pPr>
    </w:p>
    <w:p w:rsidR="008F138D" w:rsidRDefault="008F138D" w:rsidP="008F138D">
      <w:pPr>
        <w:pStyle w:val="foral-f-titulo4-t8-c"/>
        <w:shd w:val="clear" w:color="auto" w:fill="FFFFFF"/>
        <w:spacing w:before="0" w:beforeAutospacing="0" w:after="168" w:afterAutospacing="0"/>
        <w:rPr>
          <w:rFonts w:ascii="Open Sans" w:hAnsi="Open Sans"/>
          <w:b/>
          <w:bCs/>
          <w:i/>
          <w:iCs/>
          <w:color w:val="333333"/>
          <w:sz w:val="21"/>
          <w:szCs w:val="21"/>
        </w:rPr>
      </w:pPr>
      <w:r>
        <w:rPr>
          <w:rFonts w:ascii="Open Sans" w:hAnsi="Open Sans"/>
          <w:b/>
          <w:bCs/>
          <w:i/>
          <w:iCs/>
          <w:color w:val="333333"/>
          <w:sz w:val="21"/>
          <w:szCs w:val="21"/>
        </w:rPr>
        <w:t>6.–Valoración de méritos.</w:t>
      </w:r>
    </w:p>
    <w:p w:rsidR="008F138D" w:rsidRDefault="008F138D" w:rsidP="008F138D">
      <w:pPr>
        <w:pStyle w:val="foral-f-parrafo-3lineas-t5-c"/>
        <w:shd w:val="clear" w:color="auto" w:fill="FFFFFF"/>
        <w:spacing w:before="0" w:beforeAutospacing="0" w:after="240" w:afterAutospacing="0"/>
        <w:rPr>
          <w:rFonts w:ascii="Open Sans" w:hAnsi="Open Sans"/>
          <w:color w:val="333333"/>
          <w:sz w:val="21"/>
          <w:szCs w:val="21"/>
        </w:rPr>
      </w:pPr>
      <w:r>
        <w:rPr>
          <w:rFonts w:ascii="Open Sans" w:hAnsi="Open Sans"/>
          <w:color w:val="333333"/>
          <w:sz w:val="21"/>
          <w:szCs w:val="21"/>
        </w:rPr>
        <w:t>6.1. Se valorarán los méritos de la siguiente manera:</w:t>
      </w:r>
    </w:p>
    <w:p w:rsidR="008F138D" w:rsidRDefault="008F138D" w:rsidP="008F138D">
      <w:pPr>
        <w:pStyle w:val="foral-f-parrafo-c"/>
        <w:shd w:val="clear" w:color="auto" w:fill="FFFFFF"/>
        <w:spacing w:before="0" w:beforeAutospacing="0" w:after="240" w:afterAutospacing="0"/>
        <w:rPr>
          <w:rFonts w:ascii="Open Sans" w:hAnsi="Open Sans"/>
          <w:color w:val="333333"/>
          <w:sz w:val="21"/>
          <w:szCs w:val="21"/>
        </w:rPr>
      </w:pPr>
      <w:r>
        <w:rPr>
          <w:rFonts w:ascii="Open Sans" w:hAnsi="Open Sans"/>
          <w:color w:val="333333"/>
          <w:sz w:val="21"/>
          <w:szCs w:val="21"/>
        </w:rPr>
        <w:t>a) Antigüedad en el puesto de trabajo objeto de la convocatoria en la respectiva administración, a razón de 1 punto por año: hasta 40 puntos.</w:t>
      </w:r>
    </w:p>
    <w:p w:rsidR="008F138D" w:rsidRDefault="008F138D" w:rsidP="008F138D">
      <w:pPr>
        <w:pStyle w:val="foral-f-nota-c"/>
        <w:shd w:val="clear" w:color="auto" w:fill="FFFFFF"/>
        <w:spacing w:before="0" w:beforeAutospacing="0" w:after="300" w:afterAutospacing="0"/>
        <w:rPr>
          <w:rFonts w:ascii="Open Sans" w:hAnsi="Open Sans"/>
          <w:color w:val="333333"/>
          <w:sz w:val="22"/>
          <w:szCs w:val="22"/>
        </w:rPr>
      </w:pPr>
      <w:r>
        <w:rPr>
          <w:rFonts w:ascii="Open Sans" w:hAnsi="Open Sans"/>
          <w:color w:val="333333"/>
          <w:sz w:val="22"/>
          <w:szCs w:val="22"/>
        </w:rPr>
        <w:t>Notas:</w:t>
      </w:r>
    </w:p>
    <w:p w:rsidR="008F138D" w:rsidRDefault="008F138D" w:rsidP="008F138D">
      <w:pPr>
        <w:pStyle w:val="foral-f-nota-bis-c"/>
        <w:shd w:val="clear" w:color="auto" w:fill="FFFFFF"/>
        <w:spacing w:before="0" w:beforeAutospacing="0" w:after="300" w:afterAutospacing="0"/>
        <w:rPr>
          <w:rFonts w:ascii="Open Sans" w:hAnsi="Open Sans"/>
          <w:color w:val="333333"/>
          <w:sz w:val="22"/>
          <w:szCs w:val="22"/>
        </w:rPr>
      </w:pPr>
      <w:r>
        <w:rPr>
          <w:rFonts w:ascii="Open Sans" w:hAnsi="Open Sans"/>
          <w:color w:val="333333"/>
          <w:sz w:val="22"/>
          <w:szCs w:val="22"/>
        </w:rPr>
        <w:t>1. Si el número de años no fuese entero, se asignará la puntuación que proporcionalmente corresponda al período en que se hayan prestado servicios.</w:t>
      </w:r>
    </w:p>
    <w:p w:rsidR="008F138D" w:rsidRDefault="008F138D" w:rsidP="008F138D">
      <w:pPr>
        <w:pStyle w:val="foral-f-nota-bis-c"/>
        <w:shd w:val="clear" w:color="auto" w:fill="FFFFFF"/>
        <w:spacing w:before="0" w:beforeAutospacing="0" w:after="300" w:afterAutospacing="0"/>
        <w:rPr>
          <w:rFonts w:ascii="Open Sans" w:hAnsi="Open Sans"/>
          <w:color w:val="333333"/>
          <w:sz w:val="22"/>
          <w:szCs w:val="22"/>
        </w:rPr>
      </w:pPr>
      <w:r>
        <w:rPr>
          <w:rFonts w:ascii="Open Sans" w:hAnsi="Open Sans"/>
          <w:color w:val="333333"/>
          <w:sz w:val="22"/>
          <w:szCs w:val="22"/>
        </w:rPr>
        <w:t>2. No se valorarán los servicios prestados con posterioridad a la fecha de publicación de la convocatoria.</w:t>
      </w:r>
    </w:p>
    <w:p w:rsidR="008F138D" w:rsidRDefault="008F138D" w:rsidP="008F138D">
      <w:pPr>
        <w:pStyle w:val="foral-f-nota-bis-c"/>
        <w:shd w:val="clear" w:color="auto" w:fill="FFFFFF"/>
        <w:spacing w:before="0" w:beforeAutospacing="0" w:after="300" w:afterAutospacing="0"/>
        <w:rPr>
          <w:rFonts w:ascii="Open Sans" w:hAnsi="Open Sans"/>
          <w:color w:val="333333"/>
          <w:sz w:val="22"/>
          <w:szCs w:val="22"/>
        </w:rPr>
      </w:pPr>
      <w:r>
        <w:rPr>
          <w:rFonts w:ascii="Open Sans" w:hAnsi="Open Sans"/>
          <w:color w:val="333333"/>
          <w:sz w:val="22"/>
          <w:szCs w:val="22"/>
        </w:rPr>
        <w:t>3. Los servicios prestados en comisión de servicios, situación especial en activo por promoción o desempeño de funciones de superior categoría se computarán en el puesto efectivamente desempeñado.</w:t>
      </w:r>
    </w:p>
    <w:p w:rsidR="008F138D" w:rsidRDefault="008F138D" w:rsidP="008F138D">
      <w:pPr>
        <w:pStyle w:val="foral-f-nota-bis-c"/>
        <w:shd w:val="clear" w:color="auto" w:fill="FFFFFF"/>
        <w:spacing w:before="0" w:beforeAutospacing="0" w:after="300" w:afterAutospacing="0"/>
        <w:rPr>
          <w:rFonts w:ascii="Open Sans" w:hAnsi="Open Sans"/>
          <w:color w:val="333333"/>
          <w:sz w:val="22"/>
          <w:szCs w:val="22"/>
        </w:rPr>
      </w:pPr>
      <w:r>
        <w:rPr>
          <w:rFonts w:ascii="Open Sans" w:hAnsi="Open Sans"/>
          <w:color w:val="333333"/>
          <w:sz w:val="22"/>
          <w:szCs w:val="22"/>
        </w:rPr>
        <w:t>4. Se computarán en el puesto de origen los servicios prestados en situación de servicios especiales y excedencia especial.</w:t>
      </w:r>
    </w:p>
    <w:p w:rsidR="008F138D" w:rsidRDefault="008F138D" w:rsidP="008F138D">
      <w:pPr>
        <w:pStyle w:val="foral-f-parrafo-3lineas-t5-c"/>
        <w:shd w:val="clear" w:color="auto" w:fill="FFFFFF"/>
        <w:spacing w:before="0" w:beforeAutospacing="0" w:after="240" w:afterAutospacing="0"/>
        <w:rPr>
          <w:rFonts w:ascii="Open Sans" w:hAnsi="Open Sans"/>
          <w:color w:val="333333"/>
          <w:sz w:val="21"/>
          <w:szCs w:val="21"/>
        </w:rPr>
      </w:pPr>
      <w:r>
        <w:rPr>
          <w:rFonts w:ascii="Open Sans" w:hAnsi="Open Sans"/>
          <w:color w:val="333333"/>
          <w:sz w:val="21"/>
          <w:szCs w:val="21"/>
        </w:rPr>
        <w:t>b) Conocimiento de idiomas.</w:t>
      </w:r>
    </w:p>
    <w:p w:rsidR="008F138D" w:rsidRDefault="008F138D" w:rsidP="008F138D">
      <w:pPr>
        <w:pStyle w:val="foral-f-parrafo-c"/>
        <w:shd w:val="clear" w:color="auto" w:fill="FFFFFF"/>
        <w:spacing w:before="0" w:beforeAutospacing="0" w:after="240" w:afterAutospacing="0"/>
        <w:rPr>
          <w:rFonts w:ascii="Open Sans" w:hAnsi="Open Sans"/>
          <w:color w:val="333333"/>
          <w:sz w:val="21"/>
          <w:szCs w:val="21"/>
        </w:rPr>
      </w:pPr>
      <w:r>
        <w:rPr>
          <w:rFonts w:ascii="Open Sans" w:hAnsi="Open Sans"/>
          <w:color w:val="333333"/>
          <w:sz w:val="21"/>
          <w:szCs w:val="21"/>
        </w:rPr>
        <w:t>1. Conocimiento del francés o inglés, como idiomas de trabajo de la Unión Europea: hasta 2 puntos por cada uno de ellos.</w:t>
      </w:r>
    </w:p>
    <w:p w:rsidR="008F138D" w:rsidRDefault="008F138D" w:rsidP="008F138D">
      <w:pPr>
        <w:pStyle w:val="foral-f-parrafo-c"/>
        <w:shd w:val="clear" w:color="auto" w:fill="FFFFFF"/>
        <w:spacing w:before="0" w:beforeAutospacing="0" w:after="240" w:afterAutospacing="0"/>
        <w:rPr>
          <w:rFonts w:ascii="Open Sans" w:hAnsi="Open Sans"/>
          <w:color w:val="333333"/>
          <w:sz w:val="21"/>
          <w:szCs w:val="21"/>
        </w:rPr>
      </w:pPr>
      <w:r>
        <w:rPr>
          <w:rFonts w:ascii="Open Sans" w:hAnsi="Open Sans"/>
          <w:color w:val="333333"/>
          <w:sz w:val="21"/>
          <w:szCs w:val="21"/>
        </w:rPr>
        <w:t>La valoración como mérito de los idiomas de francés o inglés, se realizará en las plazas que así se hayan determinado en la plantilla orgánica.</w:t>
      </w:r>
    </w:p>
    <w:p w:rsidR="008F138D" w:rsidRDefault="008F138D" w:rsidP="008F138D">
      <w:pPr>
        <w:pStyle w:val="foral-f-parrafo-3lineas-t5-c"/>
        <w:shd w:val="clear" w:color="auto" w:fill="FFFFFF"/>
        <w:spacing w:before="0" w:beforeAutospacing="0" w:after="240" w:afterAutospacing="0"/>
        <w:rPr>
          <w:rFonts w:ascii="Open Sans" w:hAnsi="Open Sans"/>
          <w:color w:val="333333"/>
          <w:sz w:val="21"/>
          <w:szCs w:val="21"/>
        </w:rPr>
      </w:pPr>
      <w:r>
        <w:rPr>
          <w:rFonts w:ascii="Open Sans" w:hAnsi="Open Sans"/>
          <w:color w:val="333333"/>
          <w:sz w:val="21"/>
          <w:szCs w:val="21"/>
        </w:rPr>
        <w:t>2. Adicionalmente a lo establecido en el apartado anterior, el conocimiento del euskera se valorará en función de la zona en que estén ubicadas las plazas, de conformidad con los siguientes criterios:</w:t>
      </w:r>
    </w:p>
    <w:p w:rsidR="008F138D" w:rsidRDefault="008F138D" w:rsidP="008F138D">
      <w:pPr>
        <w:pStyle w:val="foral-f-parrafo-c"/>
        <w:shd w:val="clear" w:color="auto" w:fill="FFFFFF"/>
        <w:spacing w:before="0" w:beforeAutospacing="0" w:after="240" w:afterAutospacing="0"/>
        <w:rPr>
          <w:rFonts w:ascii="Open Sans" w:hAnsi="Open Sans"/>
          <w:color w:val="333333"/>
          <w:sz w:val="21"/>
          <w:szCs w:val="21"/>
        </w:rPr>
      </w:pPr>
      <w:r>
        <w:rPr>
          <w:rFonts w:ascii="Open Sans" w:hAnsi="Open Sans"/>
          <w:color w:val="333333"/>
          <w:sz w:val="21"/>
          <w:szCs w:val="21"/>
        </w:rPr>
        <w:t xml:space="preserve">–En la zona </w:t>
      </w:r>
      <w:proofErr w:type="spellStart"/>
      <w:r>
        <w:rPr>
          <w:rFonts w:ascii="Open Sans" w:hAnsi="Open Sans"/>
          <w:color w:val="333333"/>
          <w:sz w:val="21"/>
          <w:szCs w:val="21"/>
        </w:rPr>
        <w:t>vascófona</w:t>
      </w:r>
      <w:proofErr w:type="spellEnd"/>
      <w:r>
        <w:rPr>
          <w:rFonts w:ascii="Open Sans" w:hAnsi="Open Sans"/>
          <w:color w:val="333333"/>
          <w:sz w:val="21"/>
          <w:szCs w:val="21"/>
        </w:rPr>
        <w:t>: hasta 4,6 puntos.</w:t>
      </w:r>
    </w:p>
    <w:p w:rsidR="008F138D" w:rsidRDefault="008F138D" w:rsidP="008F138D">
      <w:pPr>
        <w:pStyle w:val="foral-f-parrafo-c"/>
        <w:shd w:val="clear" w:color="auto" w:fill="FFFFFF"/>
        <w:spacing w:before="0" w:beforeAutospacing="0" w:after="240" w:afterAutospacing="0"/>
        <w:rPr>
          <w:rFonts w:ascii="Open Sans" w:hAnsi="Open Sans"/>
          <w:color w:val="333333"/>
          <w:sz w:val="21"/>
          <w:szCs w:val="21"/>
        </w:rPr>
      </w:pPr>
      <w:r>
        <w:rPr>
          <w:rFonts w:ascii="Open Sans" w:hAnsi="Open Sans"/>
          <w:color w:val="333333"/>
          <w:sz w:val="21"/>
          <w:szCs w:val="21"/>
        </w:rPr>
        <w:t>–En la zona mixta: hasta 2,76 puntos.</w:t>
      </w:r>
    </w:p>
    <w:p w:rsidR="008F138D" w:rsidRDefault="008F138D" w:rsidP="008F138D">
      <w:pPr>
        <w:pStyle w:val="foral-f-parrafo-c"/>
        <w:shd w:val="clear" w:color="auto" w:fill="FFFFFF"/>
        <w:spacing w:before="0" w:beforeAutospacing="0" w:after="240" w:afterAutospacing="0"/>
        <w:rPr>
          <w:rFonts w:ascii="Open Sans" w:hAnsi="Open Sans"/>
          <w:color w:val="333333"/>
          <w:sz w:val="21"/>
          <w:szCs w:val="21"/>
        </w:rPr>
      </w:pPr>
      <w:r>
        <w:rPr>
          <w:rFonts w:ascii="Open Sans" w:hAnsi="Open Sans"/>
          <w:color w:val="333333"/>
          <w:sz w:val="21"/>
          <w:szCs w:val="21"/>
        </w:rPr>
        <w:t>La valoración del euskera como mérito en la zona mixta se realizará en las plazas que así se hayan determinado en plantilla orgánica.</w:t>
      </w:r>
    </w:p>
    <w:p w:rsidR="008F138D" w:rsidRDefault="008F138D" w:rsidP="008F138D">
      <w:pPr>
        <w:pStyle w:val="foral-f-nota-c"/>
        <w:shd w:val="clear" w:color="auto" w:fill="FFFFFF"/>
        <w:spacing w:before="0" w:beforeAutospacing="0" w:after="300" w:afterAutospacing="0"/>
        <w:rPr>
          <w:rFonts w:ascii="Open Sans" w:hAnsi="Open Sans"/>
          <w:color w:val="333333"/>
          <w:sz w:val="22"/>
          <w:szCs w:val="22"/>
        </w:rPr>
      </w:pPr>
      <w:r>
        <w:rPr>
          <w:rFonts w:ascii="Open Sans" w:hAnsi="Open Sans"/>
          <w:color w:val="333333"/>
          <w:sz w:val="22"/>
          <w:szCs w:val="22"/>
        </w:rPr>
        <w:t>Notas a todo el apartado b):</w:t>
      </w:r>
    </w:p>
    <w:p w:rsidR="008F138D" w:rsidRDefault="008F138D" w:rsidP="008F138D">
      <w:pPr>
        <w:pStyle w:val="foral-f-nota-bis-c"/>
        <w:shd w:val="clear" w:color="auto" w:fill="FFFFFF"/>
        <w:spacing w:before="0" w:beforeAutospacing="0" w:after="300" w:afterAutospacing="0"/>
        <w:rPr>
          <w:rFonts w:ascii="Open Sans" w:hAnsi="Open Sans"/>
          <w:color w:val="333333"/>
          <w:sz w:val="22"/>
          <w:szCs w:val="22"/>
        </w:rPr>
      </w:pPr>
      <w:r>
        <w:rPr>
          <w:rFonts w:ascii="Open Sans" w:hAnsi="Open Sans"/>
          <w:color w:val="333333"/>
          <w:sz w:val="22"/>
          <w:szCs w:val="22"/>
        </w:rPr>
        <w:t>La posesión de un título o certificado que acredite un nivel de conocimiento equivalente al nivel C1 del Marco Común Europeo de Referencia para las Lenguas, recibirá la máxima valoración señalada en los apartados anteriores para cada uno de los idiomas.</w:t>
      </w:r>
    </w:p>
    <w:p w:rsidR="008F138D" w:rsidRDefault="008F138D" w:rsidP="008F138D">
      <w:pPr>
        <w:pStyle w:val="foral-f-nota-bis-c"/>
        <w:shd w:val="clear" w:color="auto" w:fill="FFFFFF"/>
        <w:spacing w:before="0" w:beforeAutospacing="0" w:after="300" w:afterAutospacing="0"/>
        <w:rPr>
          <w:rFonts w:ascii="Open Sans" w:hAnsi="Open Sans"/>
          <w:color w:val="333333"/>
          <w:sz w:val="22"/>
          <w:szCs w:val="22"/>
        </w:rPr>
      </w:pPr>
      <w:r>
        <w:rPr>
          <w:rFonts w:ascii="Open Sans" w:hAnsi="Open Sans"/>
          <w:color w:val="333333"/>
          <w:sz w:val="22"/>
          <w:szCs w:val="22"/>
        </w:rPr>
        <w:t>De no poseerse dicha titulación o certificado, se valorará en 1/5 de la puntuación máxima la posesión de un título o certificado equivalente al nivel A1 del Marco Común Europeo de Referencia para las Lenguas, en 2/5 la posesión del equivalente al nivel A2, en 3/5 la posesión del equivalente al nivel B1 y en 4/5 la del nivel B2.</w:t>
      </w:r>
    </w:p>
    <w:p w:rsidR="008F138D" w:rsidRDefault="008F138D" w:rsidP="008F138D">
      <w:pPr>
        <w:pStyle w:val="foral-f-nota-bis-c"/>
        <w:shd w:val="clear" w:color="auto" w:fill="FFFFFF"/>
        <w:spacing w:before="0" w:beforeAutospacing="0" w:after="300" w:afterAutospacing="0"/>
        <w:rPr>
          <w:rFonts w:ascii="Open Sans" w:hAnsi="Open Sans"/>
          <w:color w:val="333333"/>
          <w:sz w:val="22"/>
          <w:szCs w:val="22"/>
        </w:rPr>
      </w:pPr>
      <w:r>
        <w:rPr>
          <w:rFonts w:ascii="Open Sans" w:hAnsi="Open Sans"/>
          <w:color w:val="333333"/>
          <w:sz w:val="22"/>
          <w:szCs w:val="22"/>
        </w:rPr>
        <w:lastRenderedPageBreak/>
        <w:t xml:space="preserve">A efectos de valoración del euskera como mérito, cada </w:t>
      </w:r>
      <w:proofErr w:type="spellStart"/>
      <w:r>
        <w:rPr>
          <w:rFonts w:ascii="Open Sans" w:hAnsi="Open Sans"/>
          <w:color w:val="333333"/>
          <w:sz w:val="22"/>
          <w:szCs w:val="22"/>
        </w:rPr>
        <w:t>urrats</w:t>
      </w:r>
      <w:proofErr w:type="spellEnd"/>
      <w:r>
        <w:rPr>
          <w:rFonts w:ascii="Open Sans" w:hAnsi="Open Sans"/>
          <w:color w:val="333333"/>
          <w:sz w:val="22"/>
          <w:szCs w:val="22"/>
        </w:rPr>
        <w:t xml:space="preserve"> superado en los cursos organizados por el Gobierno de Navarra se valorará en 1/12 de la puntuación máxima otorgada.</w:t>
      </w:r>
    </w:p>
    <w:p w:rsidR="008F138D" w:rsidRDefault="008F138D" w:rsidP="008F138D">
      <w:pPr>
        <w:pStyle w:val="foral-f-parrafo-c"/>
        <w:shd w:val="clear" w:color="auto" w:fill="FFFFFF"/>
        <w:spacing w:before="0" w:beforeAutospacing="0" w:after="240" w:afterAutospacing="0"/>
        <w:rPr>
          <w:rFonts w:ascii="Open Sans" w:hAnsi="Open Sans"/>
          <w:color w:val="333333"/>
          <w:sz w:val="21"/>
          <w:szCs w:val="21"/>
        </w:rPr>
      </w:pPr>
      <w:r>
        <w:rPr>
          <w:rFonts w:ascii="Open Sans" w:hAnsi="Open Sans"/>
          <w:color w:val="333333"/>
          <w:sz w:val="21"/>
          <w:szCs w:val="21"/>
        </w:rPr>
        <w:t>6.2. En ningún caso, el tribunal podrá dar por supuesta la concurrencia de un mérito que no hubiese sido alegado o que no hubiese sido acreditado documentalmente.</w:t>
      </w:r>
    </w:p>
    <w:p w:rsidR="002A410E" w:rsidRPr="00E84DC5" w:rsidRDefault="002A410E" w:rsidP="008F138D">
      <w:pPr>
        <w:spacing w:after="240" w:line="300" w:lineRule="atLeast"/>
        <w:ind w:left="218" w:right="55" w:hanging="164"/>
        <w:jc w:val="both"/>
        <w:rPr>
          <w:lang w:val="es-ES"/>
        </w:rPr>
      </w:pPr>
    </w:p>
    <w:sectPr w:rsidR="002A410E" w:rsidRPr="00E84DC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Open Sans">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4DC5"/>
    <w:rsid w:val="002A410E"/>
    <w:rsid w:val="008F138D"/>
    <w:rsid w:val="00E84DC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FE7070"/>
  <w15:docId w15:val="{DA8F715F-8C77-4E23-836F-8E11DE304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4DC5"/>
    <w:rPr>
      <w:lang w:val="es-ES_tradnl" w:eastAsia="zh-C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qFormat/>
    <w:rsid w:val="00E84DC5"/>
    <w:pPr>
      <w:spacing w:before="100" w:after="100"/>
    </w:pPr>
    <w:rPr>
      <w:sz w:val="24"/>
      <w:szCs w:val="24"/>
      <w:lang w:val="es-ES"/>
    </w:rPr>
  </w:style>
  <w:style w:type="paragraph" w:customStyle="1" w:styleId="foral-f-titulo4-t8-c">
    <w:name w:val="foral-f-titulo4-t8-c"/>
    <w:basedOn w:val="Normal"/>
    <w:rsid w:val="008F138D"/>
    <w:pPr>
      <w:spacing w:before="100" w:beforeAutospacing="1" w:after="100" w:afterAutospacing="1"/>
    </w:pPr>
    <w:rPr>
      <w:sz w:val="24"/>
      <w:szCs w:val="24"/>
      <w:lang w:val="es-ES" w:eastAsia="es-ES"/>
    </w:rPr>
  </w:style>
  <w:style w:type="paragraph" w:customStyle="1" w:styleId="foral-f-parrafo-3lineas-t5-c">
    <w:name w:val="foral-f-parrafo-3lineas-t5-c"/>
    <w:basedOn w:val="Normal"/>
    <w:rsid w:val="008F138D"/>
    <w:pPr>
      <w:spacing w:before="100" w:beforeAutospacing="1" w:after="100" w:afterAutospacing="1"/>
    </w:pPr>
    <w:rPr>
      <w:sz w:val="24"/>
      <w:szCs w:val="24"/>
      <w:lang w:val="es-ES" w:eastAsia="es-ES"/>
    </w:rPr>
  </w:style>
  <w:style w:type="paragraph" w:customStyle="1" w:styleId="foral-f-parrafo-c">
    <w:name w:val="foral-f-parrafo-c"/>
    <w:basedOn w:val="Normal"/>
    <w:rsid w:val="008F138D"/>
    <w:pPr>
      <w:spacing w:before="100" w:beforeAutospacing="1" w:after="100" w:afterAutospacing="1"/>
    </w:pPr>
    <w:rPr>
      <w:sz w:val="24"/>
      <w:szCs w:val="24"/>
      <w:lang w:val="es-ES" w:eastAsia="es-ES"/>
    </w:rPr>
  </w:style>
  <w:style w:type="paragraph" w:customStyle="1" w:styleId="foral-f-nota-c">
    <w:name w:val="foral-f-nota-c"/>
    <w:basedOn w:val="Normal"/>
    <w:rsid w:val="008F138D"/>
    <w:pPr>
      <w:spacing w:before="100" w:beforeAutospacing="1" w:after="100" w:afterAutospacing="1"/>
    </w:pPr>
    <w:rPr>
      <w:sz w:val="24"/>
      <w:szCs w:val="24"/>
      <w:lang w:val="es-ES" w:eastAsia="es-ES"/>
    </w:rPr>
  </w:style>
  <w:style w:type="paragraph" w:customStyle="1" w:styleId="foral-f-nota-bis-c">
    <w:name w:val="foral-f-nota-bis-c"/>
    <w:basedOn w:val="Normal"/>
    <w:rsid w:val="008F138D"/>
    <w:pPr>
      <w:spacing w:before="100" w:beforeAutospacing="1" w:after="100" w:afterAutospacing="1"/>
    </w:pPr>
    <w:rPr>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6810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381</Words>
  <Characters>2098</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Gobierno de Navarra</Company>
  <LinksUpToDate>false</LinksUpToDate>
  <CharactersWithSpaces>2475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Goyen Goyen, Ana Berta (ISP)</dc:creator>
  <cp:lastModifiedBy>Zoco Lampreave, Daniel (ISPLN)</cp:lastModifiedBy>
  <cp:revision>2</cp:revision>
  <dcterms:created xsi:type="dcterms:W3CDTF">2026-05-05T10:44:00Z</dcterms:created>
  <dcterms:modified xsi:type="dcterms:W3CDTF">2026-05-05T10:44:00Z</dcterms:modified>
</cp:coreProperties>
</file>